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3AC0" w14:textId="77777777" w:rsidR="00A146DE" w:rsidRDefault="00A146DE" w:rsidP="00A146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eastAsia="hr-HR"/>
          <w14:ligatures w14:val="none"/>
        </w:rPr>
        <w:t>prijedlog</w:t>
      </w:r>
    </w:p>
    <w:p w14:paraId="254DA65A" w14:textId="4DE5EA17" w:rsidR="00A146DE" w:rsidRDefault="00A146DE" w:rsidP="00A14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temelju članka 13. stavka 4. Zakona o zaštiti od požara („Narodne novine“ broj 92/10 i 114/22),  članka 30. Statuta Grada Bakra  („</w:t>
      </w:r>
      <w:bookmarkStart w:id="0" w:name="_Hlk164673313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Službene novine Grada Bakra“ broj 4/18., 12/18., 4/20., 3/21., 14/21., 10/23., 13/23., 14/23., 15/23. - pročišćeni tekst) u skladu s Procjenom ugroženosti od požara i tehnoloških eksplozija Grada Bakra („Službene novine Grada Bakra“ br. 7/23.),   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Gradsko vijeće Grada Bakra  na ___ sjednici održanoj __. ________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godine, donosi je</w:t>
      </w:r>
    </w:p>
    <w:p w14:paraId="2EF39E6E" w14:textId="77777777" w:rsidR="00A146DE" w:rsidRDefault="00A146DE" w:rsidP="00A146DE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5311A7FB" w14:textId="77777777" w:rsidR="00A146DE" w:rsidRDefault="00A146DE" w:rsidP="00A146DE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GODIŠNJI PROVEDBENI PLAN</w:t>
      </w:r>
    </w:p>
    <w:p w14:paraId="67662B59" w14:textId="5ACAAC19" w:rsidR="00A146DE" w:rsidRDefault="00A146DE" w:rsidP="00A146DE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UNAPREĐENJA ZAŠTITE OD POŽARA</w:t>
      </w:r>
      <w:r>
        <w:rPr>
          <w:rFonts w:ascii="Times New Roman" w:hAnsi="Times New Roman" w:cs="Times New Roman"/>
          <w:b/>
          <w:bCs/>
          <w:lang w:eastAsia="hr-HR"/>
        </w:rPr>
        <w:br/>
        <w:t>ZA PODRUČJE GRADA BAKRA U 202</w:t>
      </w:r>
      <w:r>
        <w:rPr>
          <w:rFonts w:ascii="Times New Roman" w:hAnsi="Times New Roman" w:cs="Times New Roman"/>
          <w:b/>
          <w:bCs/>
          <w:lang w:eastAsia="hr-HR"/>
        </w:rPr>
        <w:t>5</w:t>
      </w:r>
      <w:r>
        <w:rPr>
          <w:rFonts w:ascii="Times New Roman" w:hAnsi="Times New Roman" w:cs="Times New Roman"/>
          <w:b/>
          <w:bCs/>
          <w:lang w:eastAsia="hr-HR"/>
        </w:rPr>
        <w:t>. GODINI</w:t>
      </w:r>
    </w:p>
    <w:p w14:paraId="5599F1B6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</w:t>
      </w:r>
    </w:p>
    <w:p w14:paraId="0DDAC10A" w14:textId="28682AEE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cilju unapređenja i postizanja učinkovitije i efikasnije zaštite od požara,  donosi se Godišnji provedbeni plan unaprjeđenja zaštite od požara za područje Grada Bakra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(dalje u tekstu: Plan).</w:t>
      </w:r>
    </w:p>
    <w:p w14:paraId="1C2C6205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</w:t>
      </w:r>
    </w:p>
    <w:p w14:paraId="6DB914EF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unapređenje zaštite od požara na području Grada Bakra potrebno je provesti sljedeće mjere:</w:t>
      </w:r>
    </w:p>
    <w:p w14:paraId="7064FAB9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1. U skladu s člankom 13. Zakona o zaštiti od požara („Narodne novine“ broj 92/10 i 114/22) redovito usklađivati Procjenu ugroženosti od požara i Plan zaštite od požara s novonastalim uvjetima na svojem području.</w:t>
      </w:r>
    </w:p>
    <w:p w14:paraId="6CF38C9B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Izvršitelj: Grad Bakar </w:t>
      </w:r>
    </w:p>
    <w:p w14:paraId="56660AD2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Sudionici: Vatrogasna zajednica Grada Bakra, Dobrovoljna vatrogasna društva, MUP, PU Primorsko-goranska</w:t>
      </w:r>
    </w:p>
    <w:p w14:paraId="23BA0583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 Na temelju Procjene ugroženosti od požara  potrebno je osigurati dovoljan broj operativnih vatrogasaca  te voditi računa o organiziranosti i opremljenosti vatrogasnih postrojbi sukladno važećim propisima.</w:t>
      </w:r>
    </w:p>
    <w:p w14:paraId="327249A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65808E6A" w14:textId="63017134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3. Na temelju Programa aktivnosti u provedbi posebnih mjera zaštite od požara od interesa za Republiku Hrvatsku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 izraditi planske dokumente te provesti potrebne aktivnosti na pripremi požarne sezone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godini.</w:t>
      </w:r>
    </w:p>
    <w:p w14:paraId="0FE4774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" w:name="_Hlk164672494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4AC1123F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 Sustavno pratiti i nadzirati stanja odlagališta otpada na svom području i trajno poduzimati mjere za sanaciju nekontroliranih „divljih“ odlagališta.</w:t>
      </w:r>
    </w:p>
    <w:p w14:paraId="6BE5D5D9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5. Provoditi mjere u smislu uređenja, osiguravanja, čuvanja ili zabrane korištenja odlagališta i ostalih mjera za sanaciju nekontrolranih „divljih“ odlagališta. </w:t>
      </w:r>
    </w:p>
    <w:bookmarkEnd w:id="1"/>
    <w:p w14:paraId="6B49D34D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4. Odrediti pogodne lokacije i prostore te izvršiti sve potrebne predradnje radi uspostave zapovjednih mjesta kod zapovijedanja i koordinacije u gašenju velikih požara otvorenog prostora.</w:t>
      </w:r>
    </w:p>
    <w:p w14:paraId="0A3C195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3EA5463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5. Kontinuirano ažurirati akte u kojima propisuju potrebne mjere za uređivanje i održavanje poljoprivrednih rudina i provesti ih u dijelu koji se odnosi na zaštitu od požara, sukladno odredbi članka 12. Zakona o poljoprivrednom zemljištu („Narodne novine“ broj 20/18, 115/18, 98/19 i 57/22).</w:t>
      </w:r>
    </w:p>
    <w:p w14:paraId="6583B8D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Izvršitelj: Grad Bakar</w:t>
      </w:r>
    </w:p>
    <w:p w14:paraId="095722E5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6. Hrvatske šume d.o.o. i pravne osobe kojima je povjereno gospodarenje šumama dužne su osigurati zaštitu šuma i šumskih zemljišta, te provoditi šumski red, dok šumski red u šumama privatnih šumoposjednika provode privatni šumoposjednici, sukladno članku 44. Zakona o šumama („Narodne novine“ broj 68/18, 115/18,98/19, 32/20 i 145/20).</w:t>
      </w:r>
    </w:p>
    <w:p w14:paraId="6EE2584C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Hrvatske šume d.o.o. i drugi šumoposjednici</w:t>
      </w:r>
    </w:p>
    <w:p w14:paraId="7C6242C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7. Na temelju Procjene ugroženosti od požara i Plana zaštite od požara, potrebno je utvrditi uvjete, ustroj i način korištenja teške građevinske mehanizacije za eventualnu žurnu izradu prosjeka i probijanja protupožarnih putova radi zaustavljanja širenja šumskog požara, te utvrditi popis pravnih osoba s pregledom raspoložive teške građevinske mehanizacije te ostalih oblika logističke potpore s razrađenim planom aktiviranja.</w:t>
      </w:r>
    </w:p>
    <w:p w14:paraId="60A8F781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4D2BEBA6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8. Organizirati informativno-savjetodavne sastanke s predstavnicima Vijeća mjesnih odbora te pravnim osobama koje su dužne provoditi mjere zaštite od požara. Posebnu pozornost usmjeriti informiranju stanovništva o uvjetima loženja vatre na otvorenom prostoru tijekom požarne sezone.</w:t>
      </w:r>
    </w:p>
    <w:p w14:paraId="28FC2CB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Dobrovoljna vatrogasna društva</w:t>
      </w:r>
    </w:p>
    <w:p w14:paraId="6D4BB05B" w14:textId="77777777" w:rsidR="00A146DE" w:rsidRPr="00DB6462" w:rsidRDefault="00A146DE" w:rsidP="00DB6462">
      <w:pPr>
        <w:pStyle w:val="Bezproreda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>9.</w:t>
      </w:r>
      <w:r>
        <w:rPr>
          <w:lang w:eastAsia="hr-HR"/>
        </w:rPr>
        <w:t xml:space="preserve"> </w:t>
      </w:r>
      <w:r w:rsidRPr="00DB6462">
        <w:rPr>
          <w:rFonts w:ascii="Times New Roman" w:hAnsi="Times New Roman" w:cs="Times New Roman"/>
          <w:lang w:eastAsia="hr-HR"/>
        </w:rPr>
        <w:t>Nastaviti s ulaganjima u uređenje i izgradnju vatrogasnih domova na području Grada Bakra.</w:t>
      </w:r>
    </w:p>
    <w:p w14:paraId="45BFF5B4" w14:textId="52E0F56F" w:rsidR="00A146DE" w:rsidRPr="00DB6462" w:rsidRDefault="00A146DE" w:rsidP="00DB6462">
      <w:pPr>
        <w:pStyle w:val="Bezproreda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>- Izvođenje radova na zamjeni krova na zgradi DVD Bakar</w:t>
      </w:r>
    </w:p>
    <w:p w14:paraId="470BCD6E" w14:textId="5BAFC5CF" w:rsidR="00A146DE" w:rsidRPr="00DB6462" w:rsidRDefault="00A146DE" w:rsidP="00DB6462">
      <w:pPr>
        <w:pStyle w:val="Bezproreda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>- Nabavka montažne garaže za potrebe DVD-a Zlobin</w:t>
      </w:r>
    </w:p>
    <w:p w14:paraId="3CAFDD18" w14:textId="170D4702" w:rsidR="00A146DE" w:rsidRPr="00DB6462" w:rsidRDefault="00A146DE" w:rsidP="00DB6462">
      <w:pPr>
        <w:pStyle w:val="Bezproreda"/>
        <w:rPr>
          <w:rFonts w:ascii="Times New Roman" w:hAnsi="Times New Roman" w:cs="Times New Roman"/>
          <w:lang w:eastAsia="hr-HR"/>
        </w:rPr>
      </w:pPr>
      <w:r w:rsidRPr="00DB6462">
        <w:rPr>
          <w:rFonts w:ascii="Times New Roman" w:hAnsi="Times New Roman" w:cs="Times New Roman"/>
          <w:lang w:eastAsia="hr-HR"/>
        </w:rPr>
        <w:t>- Izvođenje radova na izgradnji Vatrogasnog doma Hreljin</w:t>
      </w:r>
    </w:p>
    <w:p w14:paraId="0BB9916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Izvršitelj: Grad Bakar</w:t>
      </w:r>
    </w:p>
    <w:p w14:paraId="690B6664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10. Nastaviti s ulaganjima u dobrovoljna vatrogasna društva, posebno za nabavu vozila i tehnike.</w:t>
      </w:r>
    </w:p>
    <w:p w14:paraId="75640BF3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</w:t>
      </w:r>
    </w:p>
    <w:p w14:paraId="1A2B72A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11. Organizirati vatrogasna natjecanja djece i mladeži u smislu promidžbe vatrogastva, organizirati sportska natjecanja s ciljem promicanja zdravlja i tjelesne spreme vatrogasaca, održati vatrogasno natjecanje vatrogasaca na županijskoj razini.</w:t>
      </w:r>
    </w:p>
    <w:p w14:paraId="0FD915A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Vatrogasna zajednica Grada Bakra,  Dobrovoljna vatrogasna društva</w:t>
      </w:r>
    </w:p>
    <w:p w14:paraId="162083FC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12. Od Komunalnog društva „Vodovod i kanalizacija“ d.o.o. Rijeka tražiti redovito provođenje ažuriranja podataka o javnoj hidrantskoj mreži (položaj i ispravnost hidranata), redovito provođenje geodetskog snimanja vanjskih hidranata, ucrtavanja lokacija hidranata kao i segmenata naselja na odgovarajuće karte te dostavu istih na korištenje središnjim vatrogasnim postrojbama.</w:t>
      </w:r>
    </w:p>
    <w:p w14:paraId="787405A1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Bakar, Komunalno društvo „Vodovod i kanalizacija“ d.o.o. Rijeka</w:t>
      </w:r>
    </w:p>
    <w:p w14:paraId="1608DC57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Sudionici: Vatrogasna zajednica Grada Bakra,  Dobrovoljna vatrogasna društva</w:t>
      </w:r>
    </w:p>
    <w:p w14:paraId="6CF9A9F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13. Osigurati redovito obavljanje dimnjačarskih djelatnosti na svom području.</w:t>
      </w:r>
    </w:p>
    <w:p w14:paraId="40FADAC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Izvršitelji: Grad Bakar</w:t>
      </w:r>
    </w:p>
    <w:p w14:paraId="030E7330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III</w:t>
      </w:r>
    </w:p>
    <w:p w14:paraId="5C65B833" w14:textId="6625CF38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izvršenje Godišnjeg provedbenog plana unapređenja zaštite od požara za područje Grada Bakra u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godini u proračunu Grada Bakra osigurana su financijska sredstva u ukupnom iznosu od </w:t>
      </w:r>
      <w:r w:rsidR="00DB646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2.155.850,00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EUR-a. </w:t>
      </w:r>
    </w:p>
    <w:p w14:paraId="45586C79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 IV</w:t>
      </w:r>
    </w:p>
    <w:p w14:paraId="6C4636AB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 Plan dostaviti će se svim izvršiteljima i sudionicima u provedbi Plana.</w:t>
      </w:r>
    </w:p>
    <w:p w14:paraId="5CAC40B8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</w:t>
      </w:r>
    </w:p>
    <w:p w14:paraId="573BC3C2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Ovaj Plan stupa na snagu osmog dana od dana objave u „Službenim novinama Grada Bakra“.</w:t>
      </w:r>
    </w:p>
    <w:p w14:paraId="2AD1DF6A" w14:textId="77777777" w:rsidR="00A146DE" w:rsidRDefault="00A146DE" w:rsidP="00A146D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</w:t>
      </w:r>
    </w:p>
    <w:p w14:paraId="5074BB9A" w14:textId="77777777" w:rsidR="00A146DE" w:rsidRDefault="00A146DE" w:rsidP="00A146D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…………………….</w:t>
      </w:r>
    </w:p>
    <w:p w14:paraId="294DD179" w14:textId="24190139" w:rsidR="00A146DE" w:rsidRDefault="00A146DE" w:rsidP="00A146D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2170-2-07/6-</w:t>
      </w:r>
      <w:r>
        <w:rPr>
          <w:rFonts w:ascii="Times New Roman" w:hAnsi="Times New Roman" w:cs="Times New Roman"/>
          <w:lang w:eastAsia="hr-HR"/>
        </w:rPr>
        <w:t>25</w:t>
      </w:r>
      <w:r>
        <w:rPr>
          <w:rFonts w:ascii="Times New Roman" w:hAnsi="Times New Roman" w:cs="Times New Roman"/>
          <w:lang w:eastAsia="hr-HR"/>
        </w:rPr>
        <w:t>-___</w:t>
      </w:r>
    </w:p>
    <w:p w14:paraId="2969D039" w14:textId="2940BF00" w:rsidR="00A146DE" w:rsidRDefault="00A146DE" w:rsidP="00A146DE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Bakar, ___. _______ 202</w:t>
      </w:r>
      <w:r>
        <w:rPr>
          <w:rFonts w:ascii="Times New Roman" w:hAnsi="Times New Roman" w:cs="Times New Roman"/>
          <w:lang w:eastAsia="hr-HR"/>
        </w:rPr>
        <w:t>5</w:t>
      </w:r>
      <w:r>
        <w:rPr>
          <w:rFonts w:ascii="Times New Roman" w:hAnsi="Times New Roman" w:cs="Times New Roman"/>
          <w:lang w:eastAsia="hr-HR"/>
        </w:rPr>
        <w:t>.</w:t>
      </w:r>
    </w:p>
    <w:p w14:paraId="5B65D633" w14:textId="77777777" w:rsidR="00A146DE" w:rsidRDefault="00A146DE" w:rsidP="00A146DE">
      <w:pPr>
        <w:pStyle w:val="Bezproreda"/>
        <w:rPr>
          <w:rFonts w:ascii="Times New Roman" w:hAnsi="Times New Roman" w:cs="Times New Roman"/>
          <w:lang w:eastAsia="hr-HR"/>
        </w:rPr>
      </w:pPr>
    </w:p>
    <w:p w14:paraId="6CD744E8" w14:textId="77777777" w:rsidR="00A146DE" w:rsidRDefault="00A146DE" w:rsidP="00A146DE">
      <w:pPr>
        <w:pStyle w:val="Bezproreda"/>
        <w:rPr>
          <w:rFonts w:ascii="Times New Roman" w:hAnsi="Times New Roman" w:cs="Times New Roman"/>
          <w:lang w:eastAsia="hr-HR"/>
        </w:rPr>
      </w:pPr>
    </w:p>
    <w:p w14:paraId="197B6514" w14:textId="77777777" w:rsidR="00A146DE" w:rsidRDefault="00A146DE" w:rsidP="00A146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 GRADA BAKRA</w:t>
      </w:r>
    </w:p>
    <w:p w14:paraId="2DE18037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</w:p>
    <w:p w14:paraId="3F00908D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</w:p>
    <w:p w14:paraId="13B65182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Predsjednik:</w:t>
      </w:r>
    </w:p>
    <w:p w14:paraId="5461AB5D" w14:textId="77777777" w:rsidR="00A146DE" w:rsidRDefault="00A146DE" w:rsidP="00A146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Milan Rončević</w:t>
      </w:r>
    </w:p>
    <w:p w14:paraId="4BEE7922" w14:textId="77777777" w:rsidR="009D24E4" w:rsidRDefault="009D24E4"/>
    <w:sectPr w:rsidR="009D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0"/>
    <w:rsid w:val="007D5B85"/>
    <w:rsid w:val="009D24E4"/>
    <w:rsid w:val="00A146DE"/>
    <w:rsid w:val="00A911A0"/>
    <w:rsid w:val="00D7491E"/>
    <w:rsid w:val="00DB6462"/>
    <w:rsid w:val="00F8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607F"/>
  <w15:chartTrackingRefBased/>
  <w15:docId w15:val="{58C34DF8-9D40-4E6D-A24E-334E6CE2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E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911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11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11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11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11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11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11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11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11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1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1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1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11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11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11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11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11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11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1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11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1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11A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11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11A0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11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1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11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11A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14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2</cp:revision>
  <dcterms:created xsi:type="dcterms:W3CDTF">2025-03-04T13:47:00Z</dcterms:created>
  <dcterms:modified xsi:type="dcterms:W3CDTF">2025-03-04T13:59:00Z</dcterms:modified>
</cp:coreProperties>
</file>